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3E" w:rsidRPr="00735796" w:rsidRDefault="003E293E" w:rsidP="00384B95">
      <w:pPr>
        <w:pStyle w:val="Nadpis1"/>
      </w:pPr>
      <w:bookmarkStart w:id="0" w:name="_Toc497120493"/>
      <w:r w:rsidRPr="00735796">
        <w:t>Aký je aktuálny stav a perspektívy uplatňovania práv osôb so zdravotným postihnutím?</w:t>
      </w:r>
      <w:bookmarkEnd w:id="0"/>
    </w:p>
    <w:p w:rsidR="003E293E" w:rsidRPr="00735796" w:rsidRDefault="003E293E" w:rsidP="00735796">
      <w:pPr>
        <w:rPr>
          <w:lang w:val="pt-PT"/>
        </w:rPr>
      </w:pPr>
      <w:r w:rsidRPr="00735796">
        <w:rPr>
          <w:lang w:val="pt-PT"/>
        </w:rPr>
        <w:t>Konferencia NROZP a ÚNSS</w:t>
      </w:r>
    </w:p>
    <w:p w:rsidR="003E293E" w:rsidRPr="00735796" w:rsidRDefault="003E293E" w:rsidP="00735796">
      <w:pPr>
        <w:rPr>
          <w:lang w:val="pt-PT"/>
        </w:rPr>
      </w:pPr>
    </w:p>
    <w:p w:rsidR="00D55E60" w:rsidRPr="00735796" w:rsidRDefault="00735796" w:rsidP="00384B95">
      <w:pPr>
        <w:pStyle w:val="Nadpis2"/>
      </w:pPr>
      <w:r>
        <w:rPr>
          <w:lang w:val="pt-PT"/>
        </w:rPr>
        <w:t>II. blok</w:t>
      </w:r>
      <w:r w:rsidR="00D55E60" w:rsidRPr="00735796">
        <w:rPr>
          <w:lang w:val="pt-PT"/>
        </w:rPr>
        <w:t>: Európska a národná legislatíva a podpora prístupnosti prostredia, služieb a tovarov</w:t>
      </w:r>
      <w:r w:rsidR="00D55E60" w:rsidRPr="00735796">
        <w:t xml:space="preserve"> </w:t>
      </w:r>
    </w:p>
    <w:p w:rsidR="00D55E60" w:rsidRPr="00735796" w:rsidRDefault="00D55E60" w:rsidP="00735796">
      <w:pPr>
        <w:ind w:firstLine="0"/>
      </w:pPr>
      <w:r w:rsidRPr="00735796">
        <w:t>Prítomní sa oboznámili so Smernicou EÚ 2006/2102 o prístupnosti webových sídiel a mobilných aplikácií verejných inštitúcií, ktorej pripomienkovaniu a presadzovaniu sa v roku 2016 intenzívne venovala aj NROZP a ÚNSS. Predstavil ju Peter Teplický, vedúci oddelenia Centra technických a informačných služieb ÚNSS.</w:t>
      </w:r>
    </w:p>
    <w:p w:rsidR="00D55E60" w:rsidRPr="00735796" w:rsidRDefault="00D55E60" w:rsidP="00735796">
      <w:r w:rsidRPr="00735796">
        <w:t xml:space="preserve">Táto smernica by mala zabezpečiť osobám so zdravotným postihnutím zásadné zlepšenie podmienok života, vzdelávania, zamestnávania, komunikácie s verejnou správou, využívania verejných služieb, </w:t>
      </w:r>
      <w:proofErr w:type="spellStart"/>
      <w:r w:rsidRPr="00735796">
        <w:t>e-governmentu</w:t>
      </w:r>
      <w:proofErr w:type="spellEnd"/>
      <w:r w:rsidRPr="00735796">
        <w:t xml:space="preserve"> a </w:t>
      </w:r>
      <w:proofErr w:type="spellStart"/>
      <w:r w:rsidRPr="00735796">
        <w:t>e-comerce</w:t>
      </w:r>
      <w:proofErr w:type="spellEnd"/>
      <w:r w:rsidRPr="00735796">
        <w:t>. Ich odkázanosť na pomoc sa tým výrazne zníži a zároveň sa zabezpečí jednotný prístup k digitálnemu priestoru a trhu v celej Európskej únii.</w:t>
      </w:r>
    </w:p>
    <w:p w:rsidR="00D55E60" w:rsidRPr="00735796" w:rsidRDefault="00D55E60" w:rsidP="00735796">
      <w:r w:rsidRPr="00735796">
        <w:t>Zatiaľ je totiž prax taká, že každý štát EÚ má vlastné pravidlá týkajúce sa prístupnosti aj úroveň ich dodržiavania. Práve smernica EU/2016/2102 si vytýčila cieľ zjednotiť pravidlá prístupnosti web sídiel a mobilných aplikácií.</w:t>
      </w:r>
    </w:p>
    <w:p w:rsidR="00D55E60" w:rsidRPr="00735796" w:rsidRDefault="00D55E60" w:rsidP="00735796">
      <w:r w:rsidRPr="00735796">
        <w:t>Požiadavka na rovnosť prístupu k informáciám a na univerzálne navrhovanie, ktoré by malo v čo najväčšej miere využívať také prvky, ktoré by uľahčili používanie webových stránok a mobilných aplikácií ľuďom s akýmkoľvek druhom znevýhodnenia, vyplýva z Dohovoru OSN o právach ľudí so zdravotným postihnutím.</w:t>
      </w:r>
    </w:p>
    <w:p w:rsidR="00384B95" w:rsidRDefault="00384B95" w:rsidP="00735796">
      <w:bookmarkStart w:id="1" w:name="_Toc497120497"/>
    </w:p>
    <w:p w:rsidR="00D55E60" w:rsidRPr="00735796" w:rsidRDefault="00D55E60" w:rsidP="00384B95">
      <w:pPr>
        <w:pStyle w:val="Nadpis3"/>
      </w:pPr>
      <w:r w:rsidRPr="00735796">
        <w:t>Bez pohodlných výnimiek</w:t>
      </w:r>
      <w:bookmarkEnd w:id="1"/>
    </w:p>
    <w:p w:rsidR="00D55E60" w:rsidRPr="00735796" w:rsidRDefault="00D55E60" w:rsidP="00735796">
      <w:r w:rsidRPr="00735796">
        <w:t>NROZP nezaháľala ani pri pripomienkovaní návrhu Smernice o aproximácii zákonov, iných právnych predpisov a správnych opatrení členských štátov, pokiaľ ide o požiadavky na prístupnosť výrobkov a služieb, tzv. Európsky akt o prístupnosti.</w:t>
      </w:r>
    </w:p>
    <w:p w:rsidR="00D55E60" w:rsidRPr="00735796" w:rsidRDefault="00D55E60" w:rsidP="00735796">
      <w:r w:rsidRPr="00735796">
        <w:t xml:space="preserve">Úlohou smernice je zabezpečiť na jednotnom trhu EÚ prístupnosť tovarov a služieb všetkým občanom, vrátane osôb so zdravotným postihnutím, na rovnakom základe. V smernici ide najmä o prístupnosť </w:t>
      </w:r>
      <w:proofErr w:type="spellStart"/>
      <w:r w:rsidRPr="00735796">
        <w:t>smartfónov</w:t>
      </w:r>
      <w:proofErr w:type="spellEnd"/>
      <w:r w:rsidRPr="00735796">
        <w:t xml:space="preserve">, </w:t>
      </w:r>
      <w:proofErr w:type="spellStart"/>
      <w:r w:rsidRPr="00735796">
        <w:t>tabletov</w:t>
      </w:r>
      <w:proofErr w:type="spellEnd"/>
      <w:r w:rsidRPr="00735796">
        <w:t xml:space="preserve"> a počítačov, automatov na výdaj lístkov a odbavovacích zariadení, televízorov a televíznych programov, bankových systémov a bankomatov, elektronických kníh, nakupovania on-line.</w:t>
      </w:r>
    </w:p>
    <w:p w:rsidR="00D55E60" w:rsidRPr="00735796" w:rsidRDefault="00D55E60" w:rsidP="00735796">
      <w:r w:rsidRPr="00735796">
        <w:t>Aj na národnej, aj na medzinárodnej úrovni sme vyvíjali tlak najmä na to, aby sa zväčšil pôvodný rozsah pôsobnosti, a to o domáce spotrebiče, zastavané prostredie, mobilné aplikácie a platobné a samoobslužné terminály.</w:t>
      </w:r>
    </w:p>
    <w:p w:rsidR="00D55E60" w:rsidRPr="00735796" w:rsidRDefault="00D55E60" w:rsidP="00735796">
      <w:r w:rsidRPr="00735796">
        <w:t xml:space="preserve">Intenzívne sme presadzovali zákaz pohodlných výnimiek a jasný harmonogram implementácie vo všetkých členských štátoch. Stav procesu prípravy Európskeho aktu o prístupnosti prezentovala Michaela </w:t>
      </w:r>
      <w:proofErr w:type="spellStart"/>
      <w:r w:rsidRPr="00735796">
        <w:t>Hajduková</w:t>
      </w:r>
      <w:proofErr w:type="spellEnd"/>
      <w:r w:rsidRPr="00735796">
        <w:t xml:space="preserve"> z ÚNSS.</w:t>
      </w:r>
    </w:p>
    <w:p w:rsidR="00D55E60" w:rsidRPr="00735796" w:rsidRDefault="00D55E60" w:rsidP="00735796">
      <w:r w:rsidRPr="00735796">
        <w:t xml:space="preserve">Stále pokračujú náročné rokovania o obsahu smernice. Európsky parlament už prijal svoje stanovisko na základe správy výboru pre vnútorný trh a ochranu spotrebiteľa (IMCO). </w:t>
      </w:r>
      <w:r w:rsidRPr="00735796">
        <w:lastRenderedPageBreak/>
        <w:t xml:space="preserve">Analýzu tohto stanoviska z hľadiska osôb so zdravotným postihnutím </w:t>
      </w:r>
      <w:hyperlink r:id="rId5" w:anchor="overlay-context=edfs-analysis-european-parliaments-position-accessibility-act" w:history="1">
        <w:r w:rsidRPr="00735796">
          <w:rPr>
            <w:rStyle w:val="Hypertextovprepojenie"/>
            <w:rFonts w:eastAsiaTheme="majorEastAsia" w:cs="Arial"/>
          </w:rPr>
          <w:t>pripravilo EDF</w:t>
        </w:r>
      </w:hyperlink>
      <w:r w:rsidRPr="00735796">
        <w:t>, v ktorom konštatuje, že sa podarilo správu značne vylepšiť v porovnaní so znením, ktoré predložil Výbor IMCO.</w:t>
      </w:r>
    </w:p>
    <w:p w:rsidR="00384B95" w:rsidRDefault="00384B95" w:rsidP="00735796">
      <w:bookmarkStart w:id="2" w:name="_Toc497120498"/>
    </w:p>
    <w:p w:rsidR="00D55E60" w:rsidRPr="00735796" w:rsidRDefault="00D55E60" w:rsidP="00384B95">
      <w:pPr>
        <w:pStyle w:val="Nadpis3"/>
      </w:pPr>
      <w:r w:rsidRPr="00735796">
        <w:t>Hlad po knihách</w:t>
      </w:r>
      <w:bookmarkEnd w:id="2"/>
    </w:p>
    <w:p w:rsidR="00D55E60" w:rsidRPr="00735796" w:rsidRDefault="00D55E60" w:rsidP="00735796">
      <w:r w:rsidRPr="00735796">
        <w:t>Neprístupnosť tlačených materiálov pre nevidiacich a slabozrakých ľudí a ľudí s inými poruchami čítania vyústila do takzvaného „hladu po knihách“ na celom svete. Svetová únia nevidiacich (WBU) začala ešte pred rokmi kampaň s cieľom vypracovať zmluvu, ktorá by túto situáciu pomohla zlepšiť.</w:t>
      </w:r>
    </w:p>
    <w:p w:rsidR="00D55E60" w:rsidRPr="00735796" w:rsidRDefault="00D55E60" w:rsidP="00735796">
      <w:r w:rsidRPr="00735796">
        <w:t xml:space="preserve">Úsilie mnohých zainteresovaných subjektov (vrátane nás a našich partnerov) bolo zamerané práve na ratifikáciu tzv. </w:t>
      </w:r>
      <w:proofErr w:type="spellStart"/>
      <w:r w:rsidRPr="00735796">
        <w:t>Marakéšskej</w:t>
      </w:r>
      <w:proofErr w:type="spellEnd"/>
      <w:r w:rsidRPr="00735796">
        <w:t xml:space="preserve"> zmluvy, ktorú prijali členské štáty Svetovej organizácie duševného vlastníctva (WIPO) v roku 2013.</w:t>
      </w:r>
    </w:p>
    <w:p w:rsidR="00D55E60" w:rsidRPr="00735796" w:rsidRDefault="00D55E60" w:rsidP="00735796">
      <w:proofErr w:type="spellStart"/>
      <w:r w:rsidRPr="00735796">
        <w:t>Marakéšska</w:t>
      </w:r>
      <w:proofErr w:type="spellEnd"/>
      <w:r w:rsidRPr="00735796">
        <w:t xml:space="preserve"> zmluva bola témou príspevku Jany Veselskej, riaditeľky Odboru autorského práva Ministerstva kultúry SR. Potešilo nás potvrdenie, že ministerstvo kultúry neráta so zavedením platenia kompenzačnej náhrady držiteľom autorských práv za sprístupňované diela, čo umožňuje smernica EÚ určujúca podmienky a pravidlá bezplatnej výmeny sprístupnených diel medzi členskými štátmi EÚ. Aktuálnemu stavu sme sa podrobnejšie </w:t>
      </w:r>
      <w:hyperlink r:id="rId6" w:history="1">
        <w:r w:rsidRPr="00735796">
          <w:rPr>
            <w:rStyle w:val="Hypertextovprepojenie"/>
            <w:rFonts w:eastAsiaTheme="majorEastAsia" w:cs="Arial"/>
          </w:rPr>
          <w:t>venovali aj na stránkach nášho časopisu</w:t>
        </w:r>
      </w:hyperlink>
      <w:r w:rsidRPr="00735796">
        <w:t xml:space="preserve"> a Pri príležitosti Medzinárodného dňa gramotnosti sa na to </w:t>
      </w:r>
      <w:hyperlink r:id="rId7" w:history="1">
        <w:r w:rsidRPr="00735796">
          <w:rPr>
            <w:rStyle w:val="Hypertextovprepojenie"/>
            <w:rFonts w:eastAsiaTheme="majorEastAsia" w:cs="Arial"/>
          </w:rPr>
          <w:t>zamerala aj ÚNSS</w:t>
        </w:r>
      </w:hyperlink>
      <w:r w:rsidRPr="00735796">
        <w:t>.</w:t>
      </w:r>
    </w:p>
    <w:p w:rsidR="00384B95" w:rsidRDefault="00384B95" w:rsidP="00735796">
      <w:bookmarkStart w:id="3" w:name="_Toc497120499"/>
    </w:p>
    <w:p w:rsidR="00D55E60" w:rsidRPr="00735796" w:rsidRDefault="00D55E60" w:rsidP="00384B95">
      <w:pPr>
        <w:pStyle w:val="Nadpis3"/>
      </w:pPr>
      <w:r w:rsidRPr="00735796">
        <w:t>Aby kompetentní počúvali</w:t>
      </w:r>
      <w:bookmarkEnd w:id="3"/>
    </w:p>
    <w:p w:rsidR="00D55E60" w:rsidRPr="00735796" w:rsidRDefault="00D55E60" w:rsidP="00735796">
      <w:r w:rsidRPr="00735796">
        <w:t xml:space="preserve">Cieľom projektu s názvom Podpora partnerstva a dialógu v oblasti </w:t>
      </w:r>
      <w:proofErr w:type="spellStart"/>
      <w:r w:rsidRPr="00735796">
        <w:t>participatívnej</w:t>
      </w:r>
      <w:proofErr w:type="spellEnd"/>
      <w:r w:rsidRPr="00735796">
        <w:t xml:space="preserve"> tvorby verejných politík, ktorý prezentoval Bruno Konečný z Úradu splnomocnenca vlády SR pre rozvoj občianskej spoločnosti, je posilňovanie angažovanosti ľudí a ich snahy zapájať sa do tvorby verejných politík.</w:t>
      </w:r>
    </w:p>
    <w:p w:rsidR="00D55E60" w:rsidRPr="00735796" w:rsidRDefault="00D55E60" w:rsidP="00735796">
      <w:r w:rsidRPr="00735796">
        <w:t>Na druhej strane primäť kompetentných počúvať tieto názory, spracovať ich a využiť ich pri tvorbe pragmatickej politiky, ktorá slúži verejnosti.</w:t>
      </w:r>
    </w:p>
    <w:p w:rsidR="00D55E60" w:rsidRPr="00735796" w:rsidRDefault="00D55E60" w:rsidP="00735796">
      <w:r w:rsidRPr="00735796">
        <w:t xml:space="preserve">Projekt sa uskutočňuje na národnej, regionálnej, </w:t>
      </w:r>
      <w:proofErr w:type="spellStart"/>
      <w:r w:rsidRPr="00735796">
        <w:t>mikroregionálnej</w:t>
      </w:r>
      <w:proofErr w:type="spellEnd"/>
      <w:r w:rsidRPr="00735796">
        <w:t xml:space="preserve"> a lokálnej úrovni. V rámci konferencie boli prezentované dva konkrétne projekty. O projekte Poskytovanie sociálnej pomoci ľuďom s mentálnym postihnutím a ich rodinám (realizuje Združenie na pomoc ľuďom s mentálnym postihnutím a Bratislavský samosprávny kraj) informovala Ľubica </w:t>
      </w:r>
      <w:proofErr w:type="spellStart"/>
      <w:r w:rsidRPr="00735796">
        <w:t>Vyberalová</w:t>
      </w:r>
      <w:proofErr w:type="spellEnd"/>
      <w:r w:rsidRPr="00735796">
        <w:t xml:space="preserve"> z už spomenutého združenia.</w:t>
      </w:r>
    </w:p>
    <w:p w:rsidR="00384B95" w:rsidRDefault="00384B95" w:rsidP="00735796">
      <w:bookmarkStart w:id="4" w:name="_Toc497120500"/>
    </w:p>
    <w:p w:rsidR="00D55E60" w:rsidRPr="00735796" w:rsidRDefault="00D55E60" w:rsidP="00384B95">
      <w:pPr>
        <w:pStyle w:val="Nadpis3"/>
      </w:pPr>
      <w:r w:rsidRPr="00735796">
        <w:t>Univerzálne riešenia</w:t>
      </w:r>
      <w:bookmarkEnd w:id="4"/>
    </w:p>
    <w:p w:rsidR="00D55E60" w:rsidRPr="00735796" w:rsidRDefault="00D55E60" w:rsidP="00735796">
      <w:r w:rsidRPr="00735796">
        <w:t xml:space="preserve">Návrh stratégie zabezpečenia prístupnosti pre všetkých (realizuje Únia nevidiacich a slabozrakých Slovenska a mesto Nitra) predstavila Michaela </w:t>
      </w:r>
      <w:proofErr w:type="spellStart"/>
      <w:r w:rsidRPr="00735796">
        <w:t>Hajduková</w:t>
      </w:r>
      <w:proofErr w:type="spellEnd"/>
      <w:r w:rsidRPr="00735796">
        <w:t xml:space="preserve"> z ÚNSS.</w:t>
      </w:r>
    </w:p>
    <w:p w:rsidR="00D55E60" w:rsidRPr="00735796" w:rsidRDefault="00D55E60" w:rsidP="00735796">
      <w:r w:rsidRPr="00735796">
        <w:t xml:space="preserve">Tento projekt je zameraný na odstraňovanie bariér akéhokoľvek druhu. Zdôrazňuje dôležitosť tzv. univerzálneho navrhovania, to znamená uplatňovania takých princípov, ktoré vychádzajú v ústrety všetkým, nielen ľuďom so zdravotným postihnutím. Veď napríklad </w:t>
      </w:r>
      <w:r w:rsidRPr="00735796">
        <w:lastRenderedPageBreak/>
        <w:t>rampu využijú nielen ľudia na vozíkoch, no aj rodičia s kočiarmi. Zväčšené písmo či kontrastné prvky nielen slabozrakí, no aj seniori a podobne.</w:t>
      </w:r>
    </w:p>
    <w:p w:rsidR="00D55E60" w:rsidRPr="00735796" w:rsidRDefault="00D55E60" w:rsidP="00735796">
      <w:r w:rsidRPr="00735796">
        <w:t>V rámci projektu bude vypracovaný návrh stratégie zabezpečenia prístupnosti v meste Nitra. Na rozhodovaní o tom, ako bude stratégia vyzerať, sa budú podieľať aj obyvatelia mesta.</w:t>
      </w:r>
    </w:p>
    <w:p w:rsidR="00D55E60" w:rsidRPr="00735796" w:rsidRDefault="00D55E60" w:rsidP="00735796">
      <w:r w:rsidRPr="00735796">
        <w:t>Ambíciou je spolupracovať s organizáciami ľudí so zdravotným postihnutím, so seniormi, s deťmi a ich rodičmi, s materskými centrami, samozrejme aj s magistrátom, odbornými a vzdelávacími inštitúciami, prevádzkovateľmi služieb a tak ďalej.</w:t>
      </w:r>
    </w:p>
    <w:p w:rsidR="00384B95" w:rsidRDefault="00384B95" w:rsidP="00735796">
      <w:bookmarkStart w:id="5" w:name="_Toc497120501"/>
    </w:p>
    <w:p w:rsidR="00D55E60" w:rsidRPr="00735796" w:rsidRDefault="00D55E60" w:rsidP="00384B95">
      <w:pPr>
        <w:pStyle w:val="Nadpis3"/>
      </w:pPr>
      <w:r w:rsidRPr="00735796">
        <w:t>Percentá, na ktoré sa zabudlo</w:t>
      </w:r>
      <w:bookmarkEnd w:id="5"/>
    </w:p>
    <w:p w:rsidR="00D55E60" w:rsidRPr="00735796" w:rsidRDefault="00D55E60" w:rsidP="00735796">
      <w:r w:rsidRPr="00735796">
        <w:t xml:space="preserve">Pavol Korček z ÚNSS a Tibor </w:t>
      </w:r>
      <w:proofErr w:type="spellStart"/>
      <w:r w:rsidRPr="00735796">
        <w:t>Köböl</w:t>
      </w:r>
      <w:proofErr w:type="spellEnd"/>
      <w:r w:rsidRPr="00735796">
        <w:t xml:space="preserve"> z Organizácie </w:t>
      </w:r>
      <w:proofErr w:type="spellStart"/>
      <w:r w:rsidRPr="00735796">
        <w:t>muskulárnych</w:t>
      </w:r>
      <w:proofErr w:type="spellEnd"/>
      <w:r w:rsidRPr="00735796">
        <w:t xml:space="preserve"> </w:t>
      </w:r>
      <w:proofErr w:type="spellStart"/>
      <w:r w:rsidRPr="00735796">
        <w:t>dystrofikov</w:t>
      </w:r>
      <w:proofErr w:type="spellEnd"/>
      <w:r w:rsidRPr="00735796">
        <w:t xml:space="preserve"> podrobili - nielen v súvislosti s každoročným konaním výstavy </w:t>
      </w:r>
      <w:proofErr w:type="spellStart"/>
      <w:r w:rsidRPr="00735796">
        <w:t>non-Handicap</w:t>
      </w:r>
      <w:proofErr w:type="spellEnd"/>
      <w:r w:rsidRPr="00735796">
        <w:t xml:space="preserve"> - výstavisko </w:t>
      </w:r>
      <w:proofErr w:type="spellStart"/>
      <w:r w:rsidRPr="00735796">
        <w:t>Incheba</w:t>
      </w:r>
      <w:proofErr w:type="spellEnd"/>
      <w:r w:rsidRPr="00735796">
        <w:t xml:space="preserve"> auditu z hľadiska prístupnosti pre osoby so zdravotným postihnutím. Výsledky nájdete v samostatnom článku tohto vydania nášho magazínu.</w:t>
      </w:r>
    </w:p>
    <w:p w:rsidR="00D55E60" w:rsidRPr="00735796" w:rsidRDefault="00D55E60" w:rsidP="00735796">
      <w:r w:rsidRPr="00735796">
        <w:t xml:space="preserve">Záverečným vystúpením bola prezentácia projektu Slovensko bez bariér Máriou </w:t>
      </w:r>
      <w:proofErr w:type="spellStart"/>
      <w:r w:rsidRPr="00735796">
        <w:t>Orgonášovou</w:t>
      </w:r>
      <w:proofErr w:type="spellEnd"/>
      <w:r w:rsidRPr="00735796">
        <w:t xml:space="preserve"> z Asociácie organizácií zdravotne postihnutých občanov SR. Súčasťou prezentácie bolo zhodnotenie prieskumu Únie miest Slovenska o tom, ako miestne samosprávy riešia požiadavky na bezbariérovosť.</w:t>
      </w:r>
    </w:p>
    <w:p w:rsidR="0081697D" w:rsidRPr="00735796" w:rsidRDefault="00D55E60" w:rsidP="00735796">
      <w:r w:rsidRPr="00735796">
        <w:t xml:space="preserve">Zistili, že samosprávy deklarovali, že v 55 percentách spolupracovali s miestnymi mimovládnymi organizáciami zastupujúcimi ľudí so zdravotným postihnutím a prístupnosť podporujú. Mária </w:t>
      </w:r>
      <w:proofErr w:type="spellStart"/>
      <w:r w:rsidRPr="00735796">
        <w:t>Orgonášová</w:t>
      </w:r>
      <w:proofErr w:type="spellEnd"/>
      <w:r w:rsidRPr="00735796">
        <w:t xml:space="preserve"> sa však pýta: Čo tých 45 percent? Viac informácií môžete získať na stránke </w:t>
      </w:r>
      <w:hyperlink r:id="rId8" w:history="1">
        <w:r w:rsidRPr="00735796">
          <w:rPr>
            <w:rStyle w:val="Hypertextovprepojenie"/>
            <w:rFonts w:eastAsiaTheme="majorEastAsia" w:cs="Arial"/>
          </w:rPr>
          <w:t>Slovensko bez bariér</w:t>
        </w:r>
      </w:hyperlink>
      <w:r w:rsidRPr="00735796">
        <w:t>.</w:t>
      </w:r>
      <w:r w:rsidRPr="00735796">
        <w:t xml:space="preserve"> </w:t>
      </w:r>
      <w:bookmarkStart w:id="6" w:name="_GoBack"/>
      <w:bookmarkEnd w:id="6"/>
    </w:p>
    <w:sectPr w:rsidR="0081697D" w:rsidRPr="00735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0"/>
    <w:rsid w:val="00384B95"/>
    <w:rsid w:val="003E293E"/>
    <w:rsid w:val="005F1DE5"/>
    <w:rsid w:val="00735796"/>
    <w:rsid w:val="0081697D"/>
    <w:rsid w:val="00D55E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5E60"/>
    <w:pPr>
      <w:spacing w:after="120" w:line="240" w:lineRule="auto"/>
      <w:ind w:firstLine="709"/>
      <w:jc w:val="both"/>
    </w:pPr>
    <w:rPr>
      <w:rFonts w:ascii="Calibri" w:eastAsia="Times New Roman" w:hAnsi="Calibri" w:cs="Times New Roman"/>
      <w:sz w:val="24"/>
      <w:szCs w:val="24"/>
    </w:rPr>
  </w:style>
  <w:style w:type="paragraph" w:styleId="Nadpis1">
    <w:name w:val="heading 1"/>
    <w:basedOn w:val="Normlny"/>
    <w:next w:val="Normlny"/>
    <w:link w:val="Nadpis1Char"/>
    <w:uiPriority w:val="9"/>
    <w:qFormat/>
    <w:rsid w:val="00384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E2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D55E60"/>
    <w:pPr>
      <w:spacing w:before="120" w:beforeAutospacing="1"/>
      <w:ind w:firstLine="0"/>
      <w:jc w:val="left"/>
      <w:outlineLvl w:val="2"/>
    </w:pPr>
    <w:rPr>
      <w:rFonts w:ascii="Arial" w:eastAsia="Calibri" w:hAnsi="Arial"/>
      <w:bCs/>
      <w:sz w:val="28"/>
      <w:szCs w:val="27"/>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D55E60"/>
    <w:rPr>
      <w:rFonts w:ascii="Arial" w:eastAsia="Calibri" w:hAnsi="Arial" w:cs="Times New Roman"/>
      <w:bCs/>
      <w:sz w:val="28"/>
      <w:szCs w:val="27"/>
      <w:lang w:val="x-none" w:eastAsia="x-none"/>
    </w:rPr>
  </w:style>
  <w:style w:type="character" w:styleId="Hypertextovprepojenie">
    <w:name w:val="Hyperlink"/>
    <w:uiPriority w:val="99"/>
    <w:unhideWhenUsed/>
    <w:rsid w:val="00D55E60"/>
    <w:rPr>
      <w:color w:val="0000FF"/>
      <w:u w:val="single"/>
    </w:rPr>
  </w:style>
  <w:style w:type="character" w:customStyle="1" w:styleId="Nadpis2Char">
    <w:name w:val="Nadpis 2 Char"/>
    <w:basedOn w:val="Predvolenpsmoodseku"/>
    <w:link w:val="Nadpis2"/>
    <w:uiPriority w:val="9"/>
    <w:rsid w:val="003E293E"/>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384B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5E60"/>
    <w:pPr>
      <w:spacing w:after="120" w:line="240" w:lineRule="auto"/>
      <w:ind w:firstLine="709"/>
      <w:jc w:val="both"/>
    </w:pPr>
    <w:rPr>
      <w:rFonts w:ascii="Calibri" w:eastAsia="Times New Roman" w:hAnsi="Calibri" w:cs="Times New Roman"/>
      <w:sz w:val="24"/>
      <w:szCs w:val="24"/>
    </w:rPr>
  </w:style>
  <w:style w:type="paragraph" w:styleId="Nadpis1">
    <w:name w:val="heading 1"/>
    <w:basedOn w:val="Normlny"/>
    <w:next w:val="Normlny"/>
    <w:link w:val="Nadpis1Char"/>
    <w:uiPriority w:val="9"/>
    <w:qFormat/>
    <w:rsid w:val="00384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E29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D55E60"/>
    <w:pPr>
      <w:spacing w:before="120" w:beforeAutospacing="1"/>
      <w:ind w:firstLine="0"/>
      <w:jc w:val="left"/>
      <w:outlineLvl w:val="2"/>
    </w:pPr>
    <w:rPr>
      <w:rFonts w:ascii="Arial" w:eastAsia="Calibri" w:hAnsi="Arial"/>
      <w:bCs/>
      <w:sz w:val="28"/>
      <w:szCs w:val="27"/>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D55E60"/>
    <w:rPr>
      <w:rFonts w:ascii="Arial" w:eastAsia="Calibri" w:hAnsi="Arial" w:cs="Times New Roman"/>
      <w:bCs/>
      <w:sz w:val="28"/>
      <w:szCs w:val="27"/>
      <w:lang w:val="x-none" w:eastAsia="x-none"/>
    </w:rPr>
  </w:style>
  <w:style w:type="character" w:styleId="Hypertextovprepojenie">
    <w:name w:val="Hyperlink"/>
    <w:uiPriority w:val="99"/>
    <w:unhideWhenUsed/>
    <w:rsid w:val="00D55E60"/>
    <w:rPr>
      <w:color w:val="0000FF"/>
      <w:u w:val="single"/>
    </w:rPr>
  </w:style>
  <w:style w:type="character" w:customStyle="1" w:styleId="Nadpis2Char">
    <w:name w:val="Nadpis 2 Char"/>
    <w:basedOn w:val="Predvolenpsmoodseku"/>
    <w:link w:val="Nadpis2"/>
    <w:uiPriority w:val="9"/>
    <w:rsid w:val="003E293E"/>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384B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nskobezbarier.sk/" TargetMode="External"/><Relationship Id="rId3" Type="http://schemas.openxmlformats.org/officeDocument/2006/relationships/settings" Target="settings.xml"/><Relationship Id="rId7" Type="http://schemas.openxmlformats.org/officeDocument/2006/relationships/hyperlink" Target="http://unss.sk/aktuality/2017/marakesska-zmluva-blizsie-k-ratifikacii.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rozp-mosty.sk/cislo-2-2017/ako-to-funguje-v-eu-02-2017/item/1963-europa-je-blizsie-k-podpisu-marakesskej-zmluvy.html" TargetMode="External"/><Relationship Id="rId5" Type="http://schemas.openxmlformats.org/officeDocument/2006/relationships/hyperlink" Target="http://www.edf-feph.org/sites/default/files/edf_analysis_of_the_european_parliaments_position_on_the_eaa_201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1072</Words>
  <Characters>6112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Dušanka</dc:creator>
  <cp:lastModifiedBy>Dušanka</cp:lastModifiedBy>
  <cp:revision>3</cp:revision>
  <dcterms:created xsi:type="dcterms:W3CDTF">2017-11-20T09:29:00Z</dcterms:created>
  <dcterms:modified xsi:type="dcterms:W3CDTF">2017-11-20T10:16:00Z</dcterms:modified>
</cp:coreProperties>
</file>